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FB6" w:rsidRPr="00263062" w:rsidRDefault="00BB3FB6" w:rsidP="00BB3FB6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263062">
        <w:rPr>
          <w:b/>
          <w:sz w:val="28"/>
          <w:szCs w:val="28"/>
        </w:rPr>
        <w:t xml:space="preserve">Информация о планируемых в 2022-2024 гг. направлениях </w:t>
      </w:r>
      <w:proofErr w:type="spellStart"/>
      <w:r w:rsidRPr="00263062">
        <w:rPr>
          <w:b/>
          <w:sz w:val="28"/>
          <w:szCs w:val="28"/>
        </w:rPr>
        <w:t>грантовой</w:t>
      </w:r>
      <w:proofErr w:type="spellEnd"/>
      <w:r w:rsidRPr="00263062">
        <w:rPr>
          <w:b/>
          <w:sz w:val="28"/>
          <w:szCs w:val="28"/>
        </w:rPr>
        <w:t xml:space="preserve"> поддержки </w:t>
      </w:r>
      <w:r w:rsidRPr="00263062">
        <w:rPr>
          <w:b/>
          <w:sz w:val="28"/>
          <w:szCs w:val="28"/>
        </w:rPr>
        <w:br/>
        <w:t xml:space="preserve">в рамках реализации мероприятий федерального проекта «Развитие туристической инфраструктуры» </w:t>
      </w:r>
      <w:r w:rsidRPr="00263062">
        <w:rPr>
          <w:b/>
          <w:sz w:val="28"/>
          <w:szCs w:val="28"/>
        </w:rPr>
        <w:br/>
        <w:t>национального проекта «Туризм и индустрия гостеприимства»</w:t>
      </w:r>
    </w:p>
    <w:p w:rsidR="00BB3FB6" w:rsidRPr="00263062" w:rsidRDefault="00BB3FB6" w:rsidP="00BB3FB6">
      <w:pPr>
        <w:ind w:firstLine="708"/>
        <w:jc w:val="center"/>
        <w:rPr>
          <w:sz w:val="28"/>
          <w:szCs w:val="28"/>
        </w:rPr>
      </w:pPr>
    </w:p>
    <w:tbl>
      <w:tblPr>
        <w:tblStyle w:val="a9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1559"/>
        <w:gridCol w:w="3119"/>
        <w:gridCol w:w="1275"/>
        <w:gridCol w:w="1135"/>
        <w:gridCol w:w="1417"/>
        <w:gridCol w:w="2613"/>
        <w:gridCol w:w="2348"/>
      </w:tblGrid>
      <w:tr w:rsidR="00BB3FB6" w:rsidRPr="00731E46" w:rsidTr="00713126">
        <w:tc>
          <w:tcPr>
            <w:tcW w:w="540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№ п/п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</w:p>
        </w:tc>
        <w:tc>
          <w:tcPr>
            <w:tcW w:w="2154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Направление государственной поддержки</w:t>
            </w:r>
          </w:p>
        </w:tc>
        <w:tc>
          <w:tcPr>
            <w:tcW w:w="1559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Максимально возможный размер бюджетных средств, который может получить регион в 2022 году, млн. руб.</w:t>
            </w:r>
          </w:p>
        </w:tc>
        <w:tc>
          <w:tcPr>
            <w:tcW w:w="3119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Направления расходования средств</w:t>
            </w:r>
          </w:p>
        </w:tc>
        <w:tc>
          <w:tcPr>
            <w:tcW w:w="127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Получатели средств</w:t>
            </w:r>
          </w:p>
        </w:tc>
        <w:tc>
          <w:tcPr>
            <w:tcW w:w="113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Максимальная сумма гранта, млн. руб.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</w:p>
        </w:tc>
        <w:tc>
          <w:tcPr>
            <w:tcW w:w="1417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 xml:space="preserve">Объем </w:t>
            </w:r>
            <w:proofErr w:type="spellStart"/>
            <w:r w:rsidRPr="00731E46">
              <w:t>софинансирования</w:t>
            </w:r>
            <w:proofErr w:type="spellEnd"/>
            <w:r w:rsidRPr="00731E46">
              <w:t xml:space="preserve"> из средств организаций и индивидуальных предпринимателей</w:t>
            </w:r>
          </w:p>
        </w:tc>
        <w:tc>
          <w:tcPr>
            <w:tcW w:w="2613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Основные требования к получателям средств</w:t>
            </w:r>
          </w:p>
        </w:tc>
        <w:tc>
          <w:tcPr>
            <w:tcW w:w="2348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 xml:space="preserve">Оценка проектов организаций и индивидуальных предпринимателей будет осуществляться </w:t>
            </w:r>
            <w:r w:rsidRPr="00731E46">
              <w:rPr>
                <w:u w:val="single"/>
              </w:rPr>
              <w:t>в том числе</w:t>
            </w:r>
            <w:r w:rsidRPr="00731E46">
              <w:t xml:space="preserve"> по следующим </w:t>
            </w:r>
            <w:proofErr w:type="gramStart"/>
            <w:r w:rsidRPr="00731E46">
              <w:t>критериям</w:t>
            </w:r>
            <w:r w:rsidRPr="00731E46">
              <w:br/>
            </w:r>
            <w:r w:rsidRPr="00731E46">
              <w:rPr>
                <w:b/>
              </w:rPr>
              <w:t>(</w:t>
            </w:r>
            <w:proofErr w:type="gramEnd"/>
            <w:r w:rsidRPr="00731E46">
              <w:rPr>
                <w:b/>
              </w:rPr>
              <w:t>!!! не исчерпывающий перечень критериев отбора)</w:t>
            </w:r>
          </w:p>
        </w:tc>
      </w:tr>
      <w:tr w:rsidR="00BB3FB6" w:rsidRPr="00731E46" w:rsidTr="00713126">
        <w:trPr>
          <w:trHeight w:val="323"/>
        </w:trPr>
        <w:tc>
          <w:tcPr>
            <w:tcW w:w="540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1</w:t>
            </w:r>
          </w:p>
        </w:tc>
        <w:tc>
          <w:tcPr>
            <w:tcW w:w="2154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2</w:t>
            </w:r>
          </w:p>
        </w:tc>
        <w:tc>
          <w:tcPr>
            <w:tcW w:w="1559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3</w:t>
            </w:r>
          </w:p>
        </w:tc>
        <w:tc>
          <w:tcPr>
            <w:tcW w:w="3119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4</w:t>
            </w:r>
          </w:p>
        </w:tc>
        <w:tc>
          <w:tcPr>
            <w:tcW w:w="127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5</w:t>
            </w:r>
          </w:p>
        </w:tc>
        <w:tc>
          <w:tcPr>
            <w:tcW w:w="113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6</w:t>
            </w:r>
          </w:p>
        </w:tc>
        <w:tc>
          <w:tcPr>
            <w:tcW w:w="1417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7</w:t>
            </w:r>
          </w:p>
        </w:tc>
        <w:tc>
          <w:tcPr>
            <w:tcW w:w="2613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8</w:t>
            </w:r>
          </w:p>
        </w:tc>
        <w:tc>
          <w:tcPr>
            <w:tcW w:w="2348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9</w:t>
            </w:r>
          </w:p>
        </w:tc>
      </w:tr>
      <w:tr w:rsidR="00BB3FB6" w:rsidRPr="00731E46" w:rsidTr="00713126">
        <w:tc>
          <w:tcPr>
            <w:tcW w:w="540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1</w:t>
            </w:r>
          </w:p>
        </w:tc>
        <w:tc>
          <w:tcPr>
            <w:tcW w:w="2154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Субсидии на осуществление </w:t>
            </w:r>
            <w:proofErr w:type="spellStart"/>
            <w:r w:rsidRPr="00731E46">
              <w:t>грантовой</w:t>
            </w:r>
            <w:proofErr w:type="spellEnd"/>
            <w:r w:rsidRPr="00731E46">
              <w:t xml:space="preserve"> поддержки общественных и предпринимательских инициатив, направленных на развитие внутреннего и въездного туризма </w:t>
            </w:r>
          </w:p>
        </w:tc>
        <w:tc>
          <w:tcPr>
            <w:tcW w:w="1559" w:type="dxa"/>
          </w:tcPr>
          <w:p w:rsidR="00BB3FB6" w:rsidRPr="00731E46" w:rsidRDefault="00BB3FB6" w:rsidP="00713126">
            <w:pPr>
              <w:spacing w:line="240" w:lineRule="exact"/>
              <w:contextualSpacing/>
              <w:jc w:val="center"/>
            </w:pPr>
            <w:r w:rsidRPr="00731E46">
              <w:t>91,2</w:t>
            </w:r>
          </w:p>
        </w:tc>
        <w:tc>
          <w:tcPr>
            <w:tcW w:w="3119" w:type="dxa"/>
          </w:tcPr>
          <w:p w:rsidR="00BB3FB6" w:rsidRPr="00731E46" w:rsidRDefault="00BB3FB6" w:rsidP="00713126">
            <w:pPr>
              <w:spacing w:line="240" w:lineRule="exact"/>
              <w:contextualSpacing/>
            </w:pPr>
            <w:r w:rsidRPr="00731E46">
              <w:t>1. Приобретение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 отдыха и спортивного инвентаря;</w:t>
            </w:r>
          </w:p>
          <w:p w:rsidR="00BB3FB6" w:rsidRPr="00731E46" w:rsidRDefault="00BB3FB6" w:rsidP="00713126">
            <w:pPr>
              <w:spacing w:line="240" w:lineRule="exact"/>
              <w:contextualSpacing/>
            </w:pPr>
          </w:p>
          <w:p w:rsidR="00BB3FB6" w:rsidRPr="00731E46" w:rsidRDefault="00BB3FB6" w:rsidP="00713126">
            <w:pPr>
              <w:spacing w:line="240" w:lineRule="exact"/>
              <w:contextualSpacing/>
            </w:pPr>
            <w:r w:rsidRPr="00731E46">
              <w:t xml:space="preserve">2. Создание и оборудование модульных некапитальных средств размещения (за исключением кемпингов и </w:t>
            </w:r>
            <w:proofErr w:type="spellStart"/>
            <w:r w:rsidRPr="00731E46">
              <w:t>автокемпингов</w:t>
            </w:r>
            <w:proofErr w:type="spellEnd"/>
            <w:r w:rsidRPr="00731E46">
              <w:t>);</w:t>
            </w:r>
          </w:p>
          <w:p w:rsidR="00BB3FB6" w:rsidRPr="00731E46" w:rsidRDefault="00BB3FB6" w:rsidP="00713126">
            <w:pPr>
              <w:spacing w:line="240" w:lineRule="exact"/>
              <w:contextualSpacing/>
            </w:pPr>
          </w:p>
          <w:p w:rsidR="00BB3FB6" w:rsidRPr="00731E46" w:rsidRDefault="00BB3FB6" w:rsidP="00713126">
            <w:pPr>
              <w:spacing w:line="240" w:lineRule="exact"/>
              <w:contextualSpacing/>
              <w:rPr>
                <w:b/>
              </w:rPr>
            </w:pPr>
            <w:r w:rsidRPr="00731E46">
              <w:t xml:space="preserve">3. Организация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устройств для инвалидов в целях обеспечения доступа к таким бассейнам туристам с ограниченными физическими </w:t>
            </w:r>
            <w:proofErr w:type="gramStart"/>
            <w:r w:rsidRPr="00731E46">
              <w:t>возможностями)</w:t>
            </w:r>
            <w:r w:rsidRPr="00731E46">
              <w:br/>
            </w:r>
            <w:r w:rsidRPr="00731E46">
              <w:rPr>
                <w:b/>
              </w:rPr>
              <w:t>!!!</w:t>
            </w:r>
            <w:proofErr w:type="gramEnd"/>
            <w:r w:rsidRPr="00731E46">
              <w:rPr>
                <w:b/>
              </w:rPr>
              <w:t xml:space="preserve"> Расходы не могут быть направлены на строительство самих бассейнов</w:t>
            </w:r>
            <w:r w:rsidRPr="00731E46">
              <w:t xml:space="preserve">, </w:t>
            </w:r>
            <w:r w:rsidRPr="00731E46">
              <w:rPr>
                <w:b/>
              </w:rPr>
              <w:t>только на организацию их круглогодичного функционирования и обустройство погружных устройств для инвалидов;</w:t>
            </w:r>
          </w:p>
          <w:p w:rsidR="00BB3FB6" w:rsidRPr="00731E46" w:rsidRDefault="00BB3FB6" w:rsidP="00713126">
            <w:pPr>
              <w:spacing w:line="240" w:lineRule="exact"/>
              <w:contextualSpacing/>
            </w:pPr>
          </w:p>
          <w:p w:rsidR="00BB3FB6" w:rsidRPr="00731E46" w:rsidRDefault="00BB3FB6" w:rsidP="00713126">
            <w:pPr>
              <w:spacing w:line="240" w:lineRule="exact"/>
              <w:contextualSpacing/>
            </w:pPr>
            <w:r w:rsidRPr="00731E46">
              <w:t xml:space="preserve">4. Разработка новых туристских маршрутов (включая маркировку, навигацию, обеспечение безопасности, организацию выделенных зон отдыха и </w:t>
            </w:r>
            <w:r w:rsidRPr="00731E46">
              <w:lastRenderedPageBreak/>
              <w:t>иные мероприятия);</w:t>
            </w:r>
          </w:p>
          <w:p w:rsidR="00BB3FB6" w:rsidRPr="00731E46" w:rsidRDefault="00BB3FB6" w:rsidP="00713126">
            <w:pPr>
              <w:spacing w:line="240" w:lineRule="exact"/>
              <w:contextualSpacing/>
            </w:pPr>
          </w:p>
          <w:p w:rsidR="00BB3FB6" w:rsidRPr="00731E46" w:rsidRDefault="00BB3FB6" w:rsidP="00713126">
            <w:pPr>
              <w:spacing w:line="240" w:lineRule="exact"/>
              <w:contextualSpacing/>
            </w:pPr>
            <w:r w:rsidRPr="00731E46">
              <w:t>5. Создание электронных путеводителей по туристским маршрутам, включая мобильные приложения и аудиогиды;</w:t>
            </w:r>
          </w:p>
          <w:p w:rsidR="00BB3FB6" w:rsidRPr="00731E46" w:rsidRDefault="00BB3FB6" w:rsidP="00713126">
            <w:pPr>
              <w:spacing w:line="240" w:lineRule="exact"/>
              <w:contextualSpacing/>
            </w:pPr>
          </w:p>
          <w:p w:rsidR="00BB3FB6" w:rsidRPr="00731E46" w:rsidRDefault="00BB3FB6" w:rsidP="00713126">
            <w:pPr>
              <w:spacing w:line="240" w:lineRule="exact"/>
              <w:contextualSpacing/>
            </w:pPr>
            <w:r w:rsidRPr="00731E46">
              <w:t xml:space="preserve">6. Реализация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пандусов, подъемников, адаптационные работы и иные мероприятия по созданию </w:t>
            </w:r>
            <w:proofErr w:type="spellStart"/>
            <w:r w:rsidRPr="00731E46">
              <w:t>безбарьерной</w:t>
            </w:r>
            <w:proofErr w:type="spellEnd"/>
            <w:r w:rsidRPr="00731E46">
              <w:t xml:space="preserve"> среды, среды для инвалидов по зрению и слуху).</w:t>
            </w:r>
          </w:p>
          <w:p w:rsidR="00BB3FB6" w:rsidRPr="00731E46" w:rsidRDefault="00BB3FB6" w:rsidP="00713126">
            <w:pPr>
              <w:spacing w:line="240" w:lineRule="exact"/>
              <w:contextualSpacing/>
            </w:pPr>
          </w:p>
          <w:p w:rsidR="00BB3FB6" w:rsidRPr="00731E46" w:rsidRDefault="00BB3FB6" w:rsidP="00713126">
            <w:pPr>
              <w:tabs>
                <w:tab w:val="left" w:pos="5047"/>
              </w:tabs>
              <w:spacing w:line="240" w:lineRule="exact"/>
            </w:pPr>
          </w:p>
        </w:tc>
        <w:tc>
          <w:tcPr>
            <w:tcW w:w="127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lastRenderedPageBreak/>
              <w:t>Юридические лица / индивидуальные предприниматели</w:t>
            </w:r>
          </w:p>
        </w:tc>
        <w:tc>
          <w:tcPr>
            <w:tcW w:w="113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3,0</w:t>
            </w:r>
          </w:p>
        </w:tc>
        <w:tc>
          <w:tcPr>
            <w:tcW w:w="1417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не менее 30 % от объема запрашиваемого гранта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</w:tc>
        <w:tc>
          <w:tcPr>
            <w:tcW w:w="2613" w:type="dxa"/>
            <w:vMerge w:val="restart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1. Организация или индивидуальный предприниматель зарегистрированы и осуществляют деятельность на территории Пермского края;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2.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</w:t>
            </w:r>
            <w:r w:rsidRPr="00731E46">
              <w:lastRenderedPageBreak/>
              <w:t>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3. Индивидуальный предприниматель является гражданином Российской Федерации;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4. Организация или индивидуальный предприниматель не получает средства из федерального </w:t>
            </w:r>
            <w:r w:rsidRPr="00731E46">
              <w:lastRenderedPageBreak/>
              <w:t>бюджета, из которого планируется предоставление субсидии субъекту Российской Федерации на указанные цели;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5. У организации или индивидуального предпринимателя по состоянию на 1-е число месяца, предшествующего месяцу подачи заявки на региональный конкурс, отсутствует просроченная задолженность по возврату в федеральный бюджет субсидии, бюджетных инвестиций, предоставленных в том числе в 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6. У организации или индивидуального предпринимателя по </w:t>
            </w:r>
            <w:r w:rsidRPr="00731E46">
              <w:lastRenderedPageBreak/>
              <w:t>состоянию на 1-е число месяца проведения регионального конкурса отсутствует неисполненная обязанность по уплате налогов, сборов, страховых взносов, пеней, штрафов и процентов, подлежащих уплате в соответствии с законодательством Российской Федерации о налогах и сборах;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7. Организация по состоянию на 1-е число месяца проведения регионального конкурса, не находится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нее не введена процедура банкротства, деятельность не </w:t>
            </w:r>
            <w:r w:rsidRPr="00731E46">
              <w:lastRenderedPageBreak/>
              <w:t>приостановлена в порядке, предусмотренном законодательством Российской Федерации, деятельность индивидуального предпринимателя не прекращена;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8. Сведения о государственной регистрации организации или индивидуального предпринимателя внесены соответственно в Единый государственный реестр юридических лиц или Единый государственный реестр индивидуальных предпринимателей не позднее чем за 12 месяцев до даты проведения регионального конкурса;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9. С организацией, индивидуальным предпринимателем не расторгались соглашения о </w:t>
            </w:r>
            <w:r w:rsidRPr="00731E46">
              <w:lastRenderedPageBreak/>
              <w:t>предоставлении гранта;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10.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регионального конкурса, являющегося юридическим лицом, либо об индивидуальном предпринимателе, являющимся участником регионального конкурса.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</w:tc>
        <w:tc>
          <w:tcPr>
            <w:tcW w:w="2348" w:type="dxa"/>
            <w:vMerge w:val="restart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lastRenderedPageBreak/>
              <w:t xml:space="preserve">1. актуальность и значимость – 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социально-экономическое значение проекта, ориентированность проекта на расширение предложения туристского продукта на территории Пермского края;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2. наличие обязательного уровня </w:t>
            </w:r>
            <w:proofErr w:type="spellStart"/>
            <w:r w:rsidRPr="00731E46">
              <w:t>софинансирования</w:t>
            </w:r>
            <w:proofErr w:type="spellEnd"/>
            <w:r w:rsidRPr="00731E46">
              <w:t xml:space="preserve"> – 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размер собственных средств организации или индивидуального предпринимателя, вкладываемых в реализацию проекта, должен составлять не менее 30 процентов объема запрашиваемого гранта;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3. опыт – 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наличие у организации или индивидуального предпринимателя реализованных проектов по тематике мероприятий;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4. квалификация – 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наличие у работников организации или у индивидуального предпринимателя, а также у привлекаемых ими специалистов опыта и соответствующих компетенций для </w:t>
            </w:r>
            <w:r w:rsidRPr="00731E46">
              <w:lastRenderedPageBreak/>
              <w:t>реализации мероприятий.</w:t>
            </w:r>
          </w:p>
        </w:tc>
      </w:tr>
      <w:tr w:rsidR="00BB3FB6" w:rsidRPr="00731E46" w:rsidTr="00713126">
        <w:tc>
          <w:tcPr>
            <w:tcW w:w="540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lastRenderedPageBreak/>
              <w:t>2</w:t>
            </w:r>
          </w:p>
        </w:tc>
        <w:tc>
          <w:tcPr>
            <w:tcW w:w="2154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Субсидии на осуществление </w:t>
            </w:r>
            <w:proofErr w:type="spellStart"/>
            <w:r w:rsidRPr="00731E46">
              <w:t>грантовой</w:t>
            </w:r>
            <w:proofErr w:type="spellEnd"/>
            <w:r w:rsidRPr="00731E46">
              <w:t xml:space="preserve"> поддержки общественных инициатив, направленных на создание модульных некапитальных средств размещения </w:t>
            </w:r>
            <w:r w:rsidRPr="00731E46">
              <w:lastRenderedPageBreak/>
              <w:t xml:space="preserve">(кемпинги и </w:t>
            </w:r>
            <w:proofErr w:type="spellStart"/>
            <w:r w:rsidRPr="00731E46">
              <w:t>автокемпинги</w:t>
            </w:r>
            <w:proofErr w:type="spellEnd"/>
            <w:r w:rsidRPr="00731E46">
              <w:t>)</w:t>
            </w:r>
          </w:p>
        </w:tc>
        <w:tc>
          <w:tcPr>
            <w:tcW w:w="1559" w:type="dxa"/>
          </w:tcPr>
          <w:p w:rsidR="00BB3FB6" w:rsidRPr="00731E46" w:rsidRDefault="00BB3FB6" w:rsidP="00713126">
            <w:pPr>
              <w:spacing w:line="240" w:lineRule="exact"/>
              <w:contextualSpacing/>
              <w:jc w:val="center"/>
            </w:pPr>
            <w:r w:rsidRPr="00731E46">
              <w:lastRenderedPageBreak/>
              <w:t>41,2</w:t>
            </w:r>
          </w:p>
        </w:tc>
        <w:tc>
          <w:tcPr>
            <w:tcW w:w="3119" w:type="dxa"/>
          </w:tcPr>
          <w:p w:rsidR="00BB3FB6" w:rsidRPr="00731E46" w:rsidRDefault="00BB3FB6" w:rsidP="00713126">
            <w:pPr>
              <w:spacing w:line="240" w:lineRule="exact"/>
            </w:pPr>
            <w:r w:rsidRPr="00731E46">
              <w:t>1. Приобретение жилых модулей (легких каркасных зданий и модульных конструкций), кемпинговых палаток и других видов туристского оборудования, используемого для организации пребывания (ночлега) в кемпинге;</w:t>
            </w:r>
          </w:p>
          <w:p w:rsidR="00BB3FB6" w:rsidRPr="00731E46" w:rsidRDefault="00BB3FB6" w:rsidP="00713126">
            <w:pPr>
              <w:spacing w:line="240" w:lineRule="exact"/>
            </w:pPr>
          </w:p>
          <w:p w:rsidR="00BB3FB6" w:rsidRPr="00731E46" w:rsidRDefault="00BB3FB6" w:rsidP="00713126">
            <w:pPr>
              <w:spacing w:line="240" w:lineRule="exact"/>
            </w:pPr>
            <w:r w:rsidRPr="00731E46">
              <w:t xml:space="preserve">2. Обустройство жилой и рекреационной зоны, </w:t>
            </w:r>
            <w:r w:rsidRPr="00731E46">
              <w:lastRenderedPageBreak/>
              <w:t>оборудование санитарных узлов (мест общего пользования);</w:t>
            </w:r>
          </w:p>
          <w:p w:rsidR="00BB3FB6" w:rsidRPr="00731E46" w:rsidRDefault="00BB3FB6" w:rsidP="00713126">
            <w:pPr>
              <w:spacing w:line="240" w:lineRule="exact"/>
            </w:pPr>
          </w:p>
          <w:p w:rsidR="00BB3FB6" w:rsidRPr="00731E46" w:rsidRDefault="00BB3FB6" w:rsidP="00713126">
            <w:pPr>
              <w:spacing w:line="240" w:lineRule="exact"/>
            </w:pPr>
            <w:r w:rsidRPr="00731E46">
              <w:t>3. Обеспечение доступа для туристов с ограниченными физическими возможностями здоровья;</w:t>
            </w:r>
          </w:p>
          <w:p w:rsidR="00BB3FB6" w:rsidRPr="00731E46" w:rsidRDefault="00BB3FB6" w:rsidP="00713126">
            <w:pPr>
              <w:spacing w:line="240" w:lineRule="exact"/>
            </w:pPr>
          </w:p>
          <w:p w:rsidR="00BB3FB6" w:rsidRPr="00731E46" w:rsidRDefault="00BB3FB6" w:rsidP="00713126">
            <w:pPr>
              <w:spacing w:line="240" w:lineRule="exact"/>
            </w:pPr>
            <w:r w:rsidRPr="00731E46">
              <w:t>4. Создание системы визуальной информации и навигации.</w:t>
            </w:r>
          </w:p>
        </w:tc>
        <w:tc>
          <w:tcPr>
            <w:tcW w:w="127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lastRenderedPageBreak/>
              <w:t>Юридические лица / индивидуальные предприниматели</w:t>
            </w:r>
          </w:p>
        </w:tc>
        <w:tc>
          <w:tcPr>
            <w:tcW w:w="113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3,5</w:t>
            </w:r>
          </w:p>
        </w:tc>
        <w:tc>
          <w:tcPr>
            <w:tcW w:w="1417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>не менее 30 % от объема запрашиваемого гранта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</w:tc>
        <w:tc>
          <w:tcPr>
            <w:tcW w:w="2613" w:type="dxa"/>
            <w:vMerge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</w:tc>
        <w:tc>
          <w:tcPr>
            <w:tcW w:w="2348" w:type="dxa"/>
            <w:vMerge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</w:tc>
      </w:tr>
      <w:tr w:rsidR="00BB3FB6" w:rsidRPr="00731E46" w:rsidTr="00713126">
        <w:tc>
          <w:tcPr>
            <w:tcW w:w="540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lastRenderedPageBreak/>
              <w:t>3</w:t>
            </w:r>
          </w:p>
        </w:tc>
        <w:tc>
          <w:tcPr>
            <w:tcW w:w="2154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t xml:space="preserve">Субсидии на осуществление </w:t>
            </w:r>
            <w:proofErr w:type="spellStart"/>
            <w:r w:rsidRPr="00731E46">
              <w:t>грантовой</w:t>
            </w:r>
            <w:proofErr w:type="spellEnd"/>
            <w:r w:rsidRPr="00731E46">
              <w:t xml:space="preserve"> поддержки общественных инициатив, направленных на обустройство </w:t>
            </w:r>
            <w:r w:rsidRPr="00731E46">
              <w:lastRenderedPageBreak/>
              <w:t>пляжей на морских побережьях и пресных водоемах; формирование локальных точек притяжения в деревнях, селах, городках; поддержку доработки существующих и создаваемых национальных брендовых туристических маршрутов (формирование дополнительных точек притяжения, санитарных зон, навигации и другой необходимой инфраструктуры)</w:t>
            </w:r>
          </w:p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</w:p>
        </w:tc>
        <w:tc>
          <w:tcPr>
            <w:tcW w:w="1559" w:type="dxa"/>
          </w:tcPr>
          <w:p w:rsidR="00BB3FB6" w:rsidRPr="00731E46" w:rsidRDefault="00BB3FB6" w:rsidP="00713126">
            <w:pPr>
              <w:spacing w:line="240" w:lineRule="exact"/>
              <w:contextualSpacing/>
              <w:jc w:val="center"/>
            </w:pPr>
            <w:r w:rsidRPr="00731E46">
              <w:lastRenderedPageBreak/>
              <w:t>74,0</w:t>
            </w:r>
          </w:p>
        </w:tc>
        <w:tc>
          <w:tcPr>
            <w:tcW w:w="3119" w:type="dxa"/>
          </w:tcPr>
          <w:p w:rsidR="00BB3FB6" w:rsidRPr="00731E46" w:rsidRDefault="00BB3FB6" w:rsidP="00713126">
            <w:pPr>
              <w:spacing w:line="240" w:lineRule="exact"/>
            </w:pPr>
            <w:r w:rsidRPr="00731E46">
              <w:t>1. Обустройство пляжей на морских побережьях и пресных водоемах;</w:t>
            </w:r>
          </w:p>
          <w:p w:rsidR="00BB3FB6" w:rsidRPr="00731E46" w:rsidRDefault="00BB3FB6" w:rsidP="00713126">
            <w:pPr>
              <w:spacing w:line="240" w:lineRule="exact"/>
            </w:pPr>
          </w:p>
          <w:p w:rsidR="00BB3FB6" w:rsidRPr="00731E46" w:rsidRDefault="00BB3FB6" w:rsidP="00713126">
            <w:pPr>
              <w:spacing w:line="240" w:lineRule="exact"/>
            </w:pPr>
            <w:r w:rsidRPr="00731E46">
              <w:t>2. Формирование локальных точек притяжения в деревнях, селах, городках;</w:t>
            </w:r>
          </w:p>
          <w:p w:rsidR="00BB3FB6" w:rsidRPr="00731E46" w:rsidRDefault="00BB3FB6" w:rsidP="00713126">
            <w:pPr>
              <w:spacing w:line="240" w:lineRule="exact"/>
            </w:pPr>
          </w:p>
          <w:p w:rsidR="00BB3FB6" w:rsidRPr="00731E46" w:rsidRDefault="00BB3FB6" w:rsidP="00713126">
            <w:pPr>
              <w:spacing w:line="240" w:lineRule="exact"/>
            </w:pPr>
            <w:r w:rsidRPr="00731E46">
              <w:t>3. Доработка существующих и создаваемых национальных брендовых туристических маршрутов (формирование дополнительных точек притяжения, санитарных зон, навигации и другой необходимой инфраструктуры).</w:t>
            </w:r>
          </w:p>
        </w:tc>
        <w:tc>
          <w:tcPr>
            <w:tcW w:w="127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</w:pPr>
            <w:r w:rsidRPr="00731E46">
              <w:lastRenderedPageBreak/>
              <w:t>Органы местного самоуправления</w:t>
            </w:r>
          </w:p>
        </w:tc>
        <w:tc>
          <w:tcPr>
            <w:tcW w:w="1135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9,3</w:t>
            </w:r>
          </w:p>
        </w:tc>
        <w:tc>
          <w:tcPr>
            <w:tcW w:w="1417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Информация уточняется</w:t>
            </w:r>
          </w:p>
        </w:tc>
        <w:tc>
          <w:tcPr>
            <w:tcW w:w="2613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Информация уточняется</w:t>
            </w:r>
          </w:p>
        </w:tc>
        <w:tc>
          <w:tcPr>
            <w:tcW w:w="2348" w:type="dxa"/>
          </w:tcPr>
          <w:p w:rsidR="00BB3FB6" w:rsidRPr="00731E46" w:rsidRDefault="00BB3FB6" w:rsidP="00713126">
            <w:pPr>
              <w:tabs>
                <w:tab w:val="left" w:pos="1475"/>
              </w:tabs>
              <w:spacing w:line="240" w:lineRule="exact"/>
              <w:jc w:val="center"/>
            </w:pPr>
            <w:r w:rsidRPr="00731E46">
              <w:t>Информация уточняется</w:t>
            </w:r>
          </w:p>
        </w:tc>
      </w:tr>
    </w:tbl>
    <w:p w:rsidR="00AF4953" w:rsidRDefault="00AF4953"/>
    <w:sectPr w:rsidR="00AF4953" w:rsidSect="00BB3F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B6"/>
    <w:rsid w:val="000F7EA8"/>
    <w:rsid w:val="002577AE"/>
    <w:rsid w:val="00457DE6"/>
    <w:rsid w:val="004F7352"/>
    <w:rsid w:val="00637B05"/>
    <w:rsid w:val="00985D35"/>
    <w:rsid w:val="009B1432"/>
    <w:rsid w:val="00AF4953"/>
    <w:rsid w:val="00B02104"/>
    <w:rsid w:val="00BB3FB6"/>
    <w:rsid w:val="00D02213"/>
    <w:rsid w:val="00D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D97DB-4AB2-4854-BDF3-5616B924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B6"/>
    <w:rPr>
      <w:sz w:val="24"/>
      <w:szCs w:val="24"/>
    </w:rPr>
  </w:style>
  <w:style w:type="paragraph" w:styleId="1">
    <w:name w:val="heading 1"/>
    <w:basedOn w:val="a"/>
    <w:link w:val="10"/>
    <w:qFormat/>
    <w:rsid w:val="002577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7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qFormat/>
    <w:rsid w:val="002577AE"/>
    <w:rPr>
      <w:b/>
      <w:bCs/>
    </w:rPr>
  </w:style>
  <w:style w:type="paragraph" w:styleId="a4">
    <w:name w:val="List Paragraph"/>
    <w:basedOn w:val="a"/>
    <w:uiPriority w:val="34"/>
    <w:qFormat/>
    <w:rsid w:val="002577AE"/>
    <w:pPr>
      <w:ind w:left="708"/>
    </w:pPr>
  </w:style>
  <w:style w:type="paragraph" w:styleId="a5">
    <w:name w:val="No Spacing"/>
    <w:uiPriority w:val="1"/>
    <w:qFormat/>
    <w:rsid w:val="004F7352"/>
    <w:rPr>
      <w:sz w:val="28"/>
    </w:rPr>
  </w:style>
  <w:style w:type="paragraph" w:customStyle="1" w:styleId="a6">
    <w:name w:val="Заголовок к тексту"/>
    <w:basedOn w:val="a"/>
    <w:next w:val="a7"/>
    <w:qFormat/>
    <w:rsid w:val="004F7352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4F735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F7352"/>
    <w:rPr>
      <w:sz w:val="24"/>
      <w:szCs w:val="24"/>
    </w:rPr>
  </w:style>
  <w:style w:type="table" w:styleId="a9">
    <w:name w:val="Table Grid"/>
    <w:basedOn w:val="a1"/>
    <w:uiPriority w:val="59"/>
    <w:rsid w:val="00BB3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Шашкова</dc:creator>
  <cp:lastModifiedBy>КДН2</cp:lastModifiedBy>
  <cp:revision>2</cp:revision>
  <dcterms:created xsi:type="dcterms:W3CDTF">2022-01-28T04:15:00Z</dcterms:created>
  <dcterms:modified xsi:type="dcterms:W3CDTF">2022-01-28T04:15:00Z</dcterms:modified>
</cp:coreProperties>
</file>